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9746D" w14:textId="77777777" w:rsidR="00424DD8" w:rsidRDefault="00424DD8">
      <w:pPr>
        <w:spacing w:before="120" w:after="300"/>
        <w:jc w:val="center"/>
        <w:rPr>
          <w:rFonts w:ascii="华文中宋" w:eastAsia="华文中宋" w:hAnsi="华文中宋"/>
          <w:bCs/>
          <w:color w:val="000000"/>
          <w:sz w:val="40"/>
          <w:szCs w:val="40"/>
        </w:rPr>
      </w:pPr>
    </w:p>
    <w:p w14:paraId="77F5B15F" w14:textId="767D6CF2" w:rsidR="00A546C7" w:rsidRPr="00D006DD" w:rsidRDefault="003D6187">
      <w:pPr>
        <w:spacing w:before="120" w:after="300"/>
        <w:jc w:val="center"/>
        <w:rPr>
          <w:rFonts w:ascii="华文中宋" w:eastAsia="华文中宋" w:hAnsi="华文中宋" w:hint="eastAsia"/>
          <w:bCs/>
          <w:sz w:val="40"/>
          <w:szCs w:val="40"/>
        </w:rPr>
      </w:pPr>
      <w:r w:rsidRPr="00D006DD">
        <w:rPr>
          <w:rFonts w:ascii="华文中宋" w:eastAsia="华文中宋" w:hAnsi="华文中宋"/>
          <w:bCs/>
          <w:color w:val="000000"/>
          <w:sz w:val="40"/>
          <w:szCs w:val="40"/>
        </w:rPr>
        <w:t>中华人民共和国证券法（</w:t>
      </w:r>
      <w:r w:rsidRPr="00D006DD">
        <w:rPr>
          <w:rFonts w:ascii="华文中宋" w:eastAsia="华文中宋" w:hAnsi="华文中宋"/>
          <w:bCs/>
          <w:color w:val="000000"/>
          <w:sz w:val="40"/>
          <w:szCs w:val="40"/>
        </w:rPr>
        <w:t>2019</w:t>
      </w:r>
      <w:r w:rsidRPr="00D006DD">
        <w:rPr>
          <w:rFonts w:ascii="华文中宋" w:eastAsia="华文中宋" w:hAnsi="华文中宋"/>
          <w:bCs/>
          <w:color w:val="000000"/>
          <w:sz w:val="40"/>
          <w:szCs w:val="40"/>
        </w:rPr>
        <w:t>年修订）</w:t>
      </w:r>
    </w:p>
    <w:p w14:paraId="4291EC90" w14:textId="2E0867B1" w:rsidR="00D006DD" w:rsidRPr="00D006DD" w:rsidRDefault="00D006DD" w:rsidP="00D006DD">
      <w:pPr>
        <w:pStyle w:val="a0"/>
        <w:jc w:val="center"/>
        <w:rPr>
          <w:rFonts w:ascii="仿宋" w:eastAsia="仿宋" w:hAnsi="仿宋"/>
          <w:color w:val="000000"/>
          <w:sz w:val="32"/>
          <w:szCs w:val="32"/>
        </w:rPr>
      </w:pPr>
      <w:r w:rsidRPr="00D006DD">
        <w:rPr>
          <w:rFonts w:ascii="仿宋" w:eastAsia="仿宋" w:hAnsi="仿宋" w:hint="eastAsia"/>
          <w:color w:val="000000"/>
          <w:sz w:val="32"/>
          <w:szCs w:val="32"/>
        </w:rPr>
        <w:t>（节选）</w:t>
      </w:r>
    </w:p>
    <w:p w14:paraId="1D79720C" w14:textId="4773DA7E" w:rsidR="00A546C7" w:rsidRPr="00D006DD" w:rsidRDefault="003D6187">
      <w:pPr>
        <w:pStyle w:val="a0"/>
        <w:ind w:firstLine="400"/>
        <w:rPr>
          <w:rFonts w:ascii="仿宋" w:eastAsia="仿宋" w:hAnsi="仿宋" w:hint="eastAsia"/>
          <w:sz w:val="32"/>
          <w:szCs w:val="32"/>
        </w:rPr>
      </w:pPr>
      <w:r w:rsidRPr="00D006DD">
        <w:rPr>
          <w:rFonts w:ascii="仿宋" w:eastAsia="仿宋" w:hAnsi="仿宋"/>
          <w:color w:val="000000"/>
          <w:sz w:val="32"/>
          <w:szCs w:val="32"/>
        </w:rPr>
        <w:t>《中华人民共和国证券法》已由中华人民共和国第十三届全国人民代表大会常务委员会第十五次会议于</w:t>
      </w:r>
      <w:r w:rsidRPr="00D006DD">
        <w:rPr>
          <w:rFonts w:ascii="仿宋" w:eastAsia="仿宋" w:hAnsi="仿宋"/>
          <w:color w:val="000000"/>
          <w:sz w:val="32"/>
          <w:szCs w:val="32"/>
        </w:rPr>
        <w:t>2019</w:t>
      </w:r>
      <w:r w:rsidRPr="00D006DD">
        <w:rPr>
          <w:rFonts w:ascii="仿宋" w:eastAsia="仿宋" w:hAnsi="仿宋"/>
          <w:color w:val="000000"/>
          <w:sz w:val="32"/>
          <w:szCs w:val="32"/>
        </w:rPr>
        <w:t>年</w:t>
      </w:r>
      <w:r w:rsidRPr="00D006DD">
        <w:rPr>
          <w:rFonts w:ascii="仿宋" w:eastAsia="仿宋" w:hAnsi="仿宋"/>
          <w:color w:val="000000"/>
          <w:sz w:val="32"/>
          <w:szCs w:val="32"/>
        </w:rPr>
        <w:t>12</w:t>
      </w:r>
      <w:r w:rsidRPr="00D006DD">
        <w:rPr>
          <w:rFonts w:ascii="仿宋" w:eastAsia="仿宋" w:hAnsi="仿宋"/>
          <w:color w:val="000000"/>
          <w:sz w:val="32"/>
          <w:szCs w:val="32"/>
        </w:rPr>
        <w:t>月</w:t>
      </w:r>
      <w:r w:rsidRPr="00D006DD">
        <w:rPr>
          <w:rFonts w:ascii="仿宋" w:eastAsia="仿宋" w:hAnsi="仿宋"/>
          <w:color w:val="000000"/>
          <w:sz w:val="32"/>
          <w:szCs w:val="32"/>
        </w:rPr>
        <w:t>28</w:t>
      </w:r>
      <w:r w:rsidRPr="00D006DD">
        <w:rPr>
          <w:rFonts w:ascii="仿宋" w:eastAsia="仿宋" w:hAnsi="仿宋"/>
          <w:color w:val="000000"/>
          <w:sz w:val="32"/>
          <w:szCs w:val="32"/>
        </w:rPr>
        <w:t>日修订通过，现予公布，自</w:t>
      </w:r>
      <w:r w:rsidRPr="00D006DD">
        <w:rPr>
          <w:rFonts w:ascii="仿宋" w:eastAsia="仿宋" w:hAnsi="仿宋"/>
          <w:color w:val="000000"/>
          <w:sz w:val="32"/>
          <w:szCs w:val="32"/>
        </w:rPr>
        <w:t>2020</w:t>
      </w:r>
      <w:r w:rsidRPr="00D006DD">
        <w:rPr>
          <w:rFonts w:ascii="仿宋" w:eastAsia="仿宋" w:hAnsi="仿宋"/>
          <w:color w:val="000000"/>
          <w:sz w:val="32"/>
          <w:szCs w:val="32"/>
        </w:rPr>
        <w:t>年</w:t>
      </w:r>
      <w:r w:rsidRPr="00D006DD">
        <w:rPr>
          <w:rFonts w:ascii="仿宋" w:eastAsia="仿宋" w:hAnsi="仿宋"/>
          <w:color w:val="000000"/>
          <w:sz w:val="32"/>
          <w:szCs w:val="32"/>
        </w:rPr>
        <w:t>3</w:t>
      </w:r>
      <w:r w:rsidRPr="00D006DD">
        <w:rPr>
          <w:rFonts w:ascii="仿宋" w:eastAsia="仿宋" w:hAnsi="仿宋"/>
          <w:color w:val="000000"/>
          <w:sz w:val="32"/>
          <w:szCs w:val="32"/>
        </w:rPr>
        <w:t>月</w:t>
      </w:r>
      <w:r w:rsidRPr="00D006DD">
        <w:rPr>
          <w:rFonts w:ascii="仿宋" w:eastAsia="仿宋" w:hAnsi="仿宋"/>
          <w:color w:val="000000"/>
          <w:sz w:val="32"/>
          <w:szCs w:val="32"/>
        </w:rPr>
        <w:t>1</w:t>
      </w:r>
      <w:r w:rsidRPr="00D006DD">
        <w:rPr>
          <w:rFonts w:ascii="仿宋" w:eastAsia="仿宋" w:hAnsi="仿宋"/>
          <w:color w:val="000000"/>
          <w:sz w:val="32"/>
          <w:szCs w:val="32"/>
        </w:rPr>
        <w:t>日起施行。</w:t>
      </w:r>
    </w:p>
    <w:p w14:paraId="1CA4B9ED" w14:textId="77777777" w:rsidR="00424DD8" w:rsidRDefault="00424DD8" w:rsidP="00424DD8">
      <w:pPr>
        <w:pStyle w:val="a0"/>
        <w:ind w:firstLine="400"/>
        <w:rPr>
          <w:rFonts w:ascii="仿宋" w:eastAsia="仿宋" w:hAnsi="仿宋"/>
          <w:color w:val="000000"/>
          <w:sz w:val="32"/>
          <w:szCs w:val="32"/>
        </w:rPr>
      </w:pPr>
    </w:p>
    <w:p w14:paraId="1975458B" w14:textId="0CEDDF85" w:rsidR="00D006DD" w:rsidRDefault="003D6187" w:rsidP="00424DD8">
      <w:pPr>
        <w:pStyle w:val="a0"/>
        <w:ind w:firstLineChars="1400" w:firstLine="4480"/>
        <w:rPr>
          <w:rFonts w:ascii="仿宋" w:eastAsia="仿宋" w:hAnsi="仿宋"/>
          <w:color w:val="000000"/>
          <w:sz w:val="32"/>
          <w:szCs w:val="32"/>
        </w:rPr>
      </w:pPr>
      <w:r w:rsidRPr="00D006DD">
        <w:rPr>
          <w:rFonts w:ascii="仿宋" w:eastAsia="仿宋" w:hAnsi="仿宋"/>
          <w:color w:val="000000"/>
          <w:sz w:val="32"/>
          <w:szCs w:val="32"/>
        </w:rPr>
        <w:t>中华人民共和国主席</w:t>
      </w:r>
      <w:r w:rsidRPr="00D006DD">
        <w:rPr>
          <w:rFonts w:ascii="仿宋" w:eastAsia="仿宋" w:hAnsi="仿宋"/>
          <w:color w:val="000000"/>
          <w:sz w:val="32"/>
          <w:szCs w:val="32"/>
        </w:rPr>
        <w:t>  </w:t>
      </w:r>
      <w:r w:rsidRPr="00D006DD">
        <w:rPr>
          <w:rFonts w:ascii="仿宋" w:eastAsia="仿宋" w:hAnsi="仿宋"/>
          <w:color w:val="000000"/>
          <w:sz w:val="32"/>
          <w:szCs w:val="32"/>
        </w:rPr>
        <w:t>习近平</w:t>
      </w:r>
    </w:p>
    <w:p w14:paraId="5718EC02" w14:textId="42F9A8B5" w:rsidR="00A546C7" w:rsidRPr="00D006DD" w:rsidRDefault="003D6187" w:rsidP="00424DD8">
      <w:pPr>
        <w:pStyle w:val="a0"/>
        <w:ind w:firstLineChars="1700" w:firstLine="5440"/>
        <w:rPr>
          <w:rFonts w:ascii="仿宋" w:eastAsia="仿宋" w:hAnsi="仿宋" w:hint="eastAsia"/>
          <w:sz w:val="32"/>
          <w:szCs w:val="32"/>
        </w:rPr>
      </w:pPr>
      <w:r w:rsidRPr="00D006DD">
        <w:rPr>
          <w:rFonts w:ascii="仿宋" w:eastAsia="仿宋" w:hAnsi="仿宋"/>
          <w:color w:val="000000"/>
          <w:sz w:val="32"/>
          <w:szCs w:val="32"/>
        </w:rPr>
        <w:t>2019</w:t>
      </w:r>
      <w:r w:rsidRPr="00D006DD">
        <w:rPr>
          <w:rFonts w:ascii="仿宋" w:eastAsia="仿宋" w:hAnsi="仿宋"/>
          <w:color w:val="000000"/>
          <w:sz w:val="32"/>
          <w:szCs w:val="32"/>
        </w:rPr>
        <w:t>年</w:t>
      </w:r>
      <w:r w:rsidRPr="00D006DD">
        <w:rPr>
          <w:rFonts w:ascii="仿宋" w:eastAsia="仿宋" w:hAnsi="仿宋"/>
          <w:color w:val="000000"/>
          <w:sz w:val="32"/>
          <w:szCs w:val="32"/>
        </w:rPr>
        <w:t>12</w:t>
      </w:r>
      <w:r w:rsidRPr="00D006DD">
        <w:rPr>
          <w:rFonts w:ascii="仿宋" w:eastAsia="仿宋" w:hAnsi="仿宋"/>
          <w:color w:val="000000"/>
          <w:sz w:val="32"/>
          <w:szCs w:val="32"/>
        </w:rPr>
        <w:t>月</w:t>
      </w:r>
      <w:r w:rsidRPr="00D006DD">
        <w:rPr>
          <w:rFonts w:ascii="仿宋" w:eastAsia="仿宋" w:hAnsi="仿宋"/>
          <w:color w:val="000000"/>
          <w:sz w:val="32"/>
          <w:szCs w:val="32"/>
        </w:rPr>
        <w:t>28</w:t>
      </w:r>
      <w:r w:rsidRPr="00D006DD">
        <w:rPr>
          <w:rFonts w:ascii="仿宋" w:eastAsia="仿宋" w:hAnsi="仿宋"/>
          <w:color w:val="000000"/>
          <w:sz w:val="32"/>
          <w:szCs w:val="32"/>
        </w:rPr>
        <w:t>日</w:t>
      </w:r>
    </w:p>
    <w:p w14:paraId="26475A6B" w14:textId="77777777" w:rsidR="00D006DD" w:rsidRDefault="00D006DD">
      <w:pPr>
        <w:widowControl/>
        <w:rPr>
          <w:rFonts w:ascii="仿宋" w:eastAsia="仿宋" w:hAnsi="仿宋"/>
          <w:color w:val="000000"/>
          <w:sz w:val="32"/>
          <w:szCs w:val="32"/>
        </w:rPr>
      </w:pPr>
      <w:r>
        <w:rPr>
          <w:rFonts w:ascii="仿宋" w:eastAsia="仿宋" w:hAnsi="仿宋"/>
          <w:color w:val="000000"/>
          <w:sz w:val="32"/>
          <w:szCs w:val="32"/>
        </w:rPr>
        <w:br w:type="page"/>
      </w:r>
    </w:p>
    <w:p w14:paraId="7222E4A9" w14:textId="7EC9FEF8" w:rsidR="00A546C7" w:rsidRPr="00D006DD" w:rsidRDefault="003D6187">
      <w:pPr>
        <w:pStyle w:val="a0"/>
        <w:ind w:firstLine="400"/>
        <w:rPr>
          <w:rFonts w:ascii="仿宋" w:eastAsia="仿宋" w:hAnsi="仿宋" w:hint="eastAsia"/>
          <w:sz w:val="32"/>
          <w:szCs w:val="32"/>
        </w:rPr>
      </w:pPr>
      <w:r w:rsidRPr="00D006DD">
        <w:rPr>
          <w:rFonts w:ascii="仿宋" w:eastAsia="仿宋" w:hAnsi="仿宋"/>
          <w:color w:val="000000"/>
          <w:sz w:val="32"/>
          <w:szCs w:val="32"/>
        </w:rPr>
        <w:lastRenderedPageBreak/>
        <w:t>（</w:t>
      </w:r>
      <w:r w:rsidRPr="00D006DD">
        <w:rPr>
          <w:rFonts w:ascii="仿宋" w:eastAsia="仿宋" w:hAnsi="仿宋"/>
          <w:color w:val="000000"/>
          <w:sz w:val="32"/>
          <w:szCs w:val="32"/>
        </w:rPr>
        <w:t>1998</w:t>
      </w:r>
      <w:r w:rsidRPr="00D006DD">
        <w:rPr>
          <w:rFonts w:ascii="仿宋" w:eastAsia="仿宋" w:hAnsi="仿宋"/>
          <w:color w:val="000000"/>
          <w:sz w:val="32"/>
          <w:szCs w:val="32"/>
        </w:rPr>
        <w:t>年</w:t>
      </w:r>
      <w:r w:rsidRPr="00D006DD">
        <w:rPr>
          <w:rFonts w:ascii="仿宋" w:eastAsia="仿宋" w:hAnsi="仿宋"/>
          <w:color w:val="000000"/>
          <w:sz w:val="32"/>
          <w:szCs w:val="32"/>
        </w:rPr>
        <w:t>12</w:t>
      </w:r>
      <w:r w:rsidRPr="00D006DD">
        <w:rPr>
          <w:rFonts w:ascii="仿宋" w:eastAsia="仿宋" w:hAnsi="仿宋"/>
          <w:color w:val="000000"/>
          <w:sz w:val="32"/>
          <w:szCs w:val="32"/>
        </w:rPr>
        <w:t>月</w:t>
      </w:r>
      <w:r w:rsidRPr="00D006DD">
        <w:rPr>
          <w:rFonts w:ascii="仿宋" w:eastAsia="仿宋" w:hAnsi="仿宋"/>
          <w:color w:val="000000"/>
          <w:sz w:val="32"/>
          <w:szCs w:val="32"/>
        </w:rPr>
        <w:t>29</w:t>
      </w:r>
      <w:r w:rsidRPr="00D006DD">
        <w:rPr>
          <w:rFonts w:ascii="仿宋" w:eastAsia="仿宋" w:hAnsi="仿宋"/>
          <w:color w:val="000000"/>
          <w:sz w:val="32"/>
          <w:szCs w:val="32"/>
        </w:rPr>
        <w:t>日第九届全国人民代表大会常务委员会第六次会议通过</w:t>
      </w:r>
      <w:r w:rsidRPr="00D006DD">
        <w:rPr>
          <w:rFonts w:ascii="仿宋" w:eastAsia="仿宋" w:hAnsi="仿宋"/>
          <w:color w:val="000000"/>
          <w:sz w:val="32"/>
          <w:szCs w:val="32"/>
        </w:rPr>
        <w:t xml:space="preserve"> </w:t>
      </w:r>
      <w:r w:rsidRPr="00D006DD">
        <w:rPr>
          <w:rFonts w:ascii="仿宋" w:eastAsia="仿宋" w:hAnsi="仿宋"/>
          <w:color w:val="000000"/>
          <w:sz w:val="32"/>
          <w:szCs w:val="32"/>
        </w:rPr>
        <w:t>根据</w:t>
      </w:r>
      <w:r w:rsidRPr="00D006DD">
        <w:rPr>
          <w:rFonts w:ascii="仿宋" w:eastAsia="仿宋" w:hAnsi="仿宋"/>
          <w:color w:val="000000"/>
          <w:sz w:val="32"/>
          <w:szCs w:val="32"/>
        </w:rPr>
        <w:t>2004</w:t>
      </w:r>
      <w:r w:rsidRPr="00D006DD">
        <w:rPr>
          <w:rFonts w:ascii="仿宋" w:eastAsia="仿宋" w:hAnsi="仿宋"/>
          <w:color w:val="000000"/>
          <w:sz w:val="32"/>
          <w:szCs w:val="32"/>
        </w:rPr>
        <w:t>年</w:t>
      </w:r>
      <w:r w:rsidRPr="00D006DD">
        <w:rPr>
          <w:rFonts w:ascii="仿宋" w:eastAsia="仿宋" w:hAnsi="仿宋"/>
          <w:color w:val="000000"/>
          <w:sz w:val="32"/>
          <w:szCs w:val="32"/>
        </w:rPr>
        <w:t>8</w:t>
      </w:r>
      <w:r w:rsidRPr="00D006DD">
        <w:rPr>
          <w:rFonts w:ascii="仿宋" w:eastAsia="仿宋" w:hAnsi="仿宋"/>
          <w:color w:val="000000"/>
          <w:sz w:val="32"/>
          <w:szCs w:val="32"/>
        </w:rPr>
        <w:t>月</w:t>
      </w:r>
      <w:r w:rsidRPr="00D006DD">
        <w:rPr>
          <w:rFonts w:ascii="仿宋" w:eastAsia="仿宋" w:hAnsi="仿宋"/>
          <w:color w:val="000000"/>
          <w:sz w:val="32"/>
          <w:szCs w:val="32"/>
        </w:rPr>
        <w:t>28</w:t>
      </w:r>
      <w:r w:rsidRPr="00D006DD">
        <w:rPr>
          <w:rFonts w:ascii="仿宋" w:eastAsia="仿宋" w:hAnsi="仿宋"/>
          <w:color w:val="000000"/>
          <w:sz w:val="32"/>
          <w:szCs w:val="32"/>
        </w:rPr>
        <w:t>日第十届全国人民代表大会常务委员会第十一次会议《关于修改〈中华人民共和国证券法〉的决定》第一次修正</w:t>
      </w:r>
      <w:r w:rsidRPr="00D006DD">
        <w:rPr>
          <w:rFonts w:ascii="仿宋" w:eastAsia="仿宋" w:hAnsi="仿宋"/>
          <w:color w:val="000000"/>
          <w:sz w:val="32"/>
          <w:szCs w:val="32"/>
        </w:rPr>
        <w:t xml:space="preserve"> 2005</w:t>
      </w:r>
      <w:r w:rsidRPr="00D006DD">
        <w:rPr>
          <w:rFonts w:ascii="仿宋" w:eastAsia="仿宋" w:hAnsi="仿宋"/>
          <w:color w:val="000000"/>
          <w:sz w:val="32"/>
          <w:szCs w:val="32"/>
        </w:rPr>
        <w:t>年</w:t>
      </w:r>
      <w:r w:rsidRPr="00D006DD">
        <w:rPr>
          <w:rFonts w:ascii="仿宋" w:eastAsia="仿宋" w:hAnsi="仿宋"/>
          <w:color w:val="000000"/>
          <w:sz w:val="32"/>
          <w:szCs w:val="32"/>
        </w:rPr>
        <w:t>10</w:t>
      </w:r>
      <w:r w:rsidRPr="00D006DD">
        <w:rPr>
          <w:rFonts w:ascii="仿宋" w:eastAsia="仿宋" w:hAnsi="仿宋"/>
          <w:color w:val="000000"/>
          <w:sz w:val="32"/>
          <w:szCs w:val="32"/>
        </w:rPr>
        <w:t>月</w:t>
      </w:r>
      <w:r w:rsidRPr="00D006DD">
        <w:rPr>
          <w:rFonts w:ascii="仿宋" w:eastAsia="仿宋" w:hAnsi="仿宋"/>
          <w:color w:val="000000"/>
          <w:sz w:val="32"/>
          <w:szCs w:val="32"/>
        </w:rPr>
        <w:t>27</w:t>
      </w:r>
      <w:r w:rsidRPr="00D006DD">
        <w:rPr>
          <w:rFonts w:ascii="仿宋" w:eastAsia="仿宋" w:hAnsi="仿宋"/>
          <w:color w:val="000000"/>
          <w:sz w:val="32"/>
          <w:szCs w:val="32"/>
        </w:rPr>
        <w:t>日第十届全国人民代表大会常务委员会第十八次会议第一次修订</w:t>
      </w:r>
      <w:r w:rsidRPr="00D006DD">
        <w:rPr>
          <w:rFonts w:ascii="仿宋" w:eastAsia="仿宋" w:hAnsi="仿宋"/>
          <w:color w:val="000000"/>
          <w:sz w:val="32"/>
          <w:szCs w:val="32"/>
        </w:rPr>
        <w:t xml:space="preserve"> </w:t>
      </w:r>
      <w:r w:rsidRPr="00D006DD">
        <w:rPr>
          <w:rFonts w:ascii="仿宋" w:eastAsia="仿宋" w:hAnsi="仿宋"/>
          <w:color w:val="000000"/>
          <w:sz w:val="32"/>
          <w:szCs w:val="32"/>
        </w:rPr>
        <w:t>根据</w:t>
      </w:r>
      <w:r w:rsidRPr="00D006DD">
        <w:rPr>
          <w:rFonts w:ascii="仿宋" w:eastAsia="仿宋" w:hAnsi="仿宋"/>
          <w:color w:val="000000"/>
          <w:sz w:val="32"/>
          <w:szCs w:val="32"/>
        </w:rPr>
        <w:t>2013</w:t>
      </w:r>
      <w:r w:rsidRPr="00D006DD">
        <w:rPr>
          <w:rFonts w:ascii="仿宋" w:eastAsia="仿宋" w:hAnsi="仿宋"/>
          <w:color w:val="000000"/>
          <w:sz w:val="32"/>
          <w:szCs w:val="32"/>
        </w:rPr>
        <w:t>年</w:t>
      </w:r>
      <w:r w:rsidRPr="00D006DD">
        <w:rPr>
          <w:rFonts w:ascii="仿宋" w:eastAsia="仿宋" w:hAnsi="仿宋"/>
          <w:color w:val="000000"/>
          <w:sz w:val="32"/>
          <w:szCs w:val="32"/>
        </w:rPr>
        <w:t>6</w:t>
      </w:r>
      <w:r w:rsidRPr="00D006DD">
        <w:rPr>
          <w:rFonts w:ascii="仿宋" w:eastAsia="仿宋" w:hAnsi="仿宋"/>
          <w:color w:val="000000"/>
          <w:sz w:val="32"/>
          <w:szCs w:val="32"/>
        </w:rPr>
        <w:t>月</w:t>
      </w:r>
      <w:r w:rsidRPr="00D006DD">
        <w:rPr>
          <w:rFonts w:ascii="仿宋" w:eastAsia="仿宋" w:hAnsi="仿宋"/>
          <w:color w:val="000000"/>
          <w:sz w:val="32"/>
          <w:szCs w:val="32"/>
        </w:rPr>
        <w:t>29</w:t>
      </w:r>
      <w:r w:rsidRPr="00D006DD">
        <w:rPr>
          <w:rFonts w:ascii="仿宋" w:eastAsia="仿宋" w:hAnsi="仿宋"/>
          <w:color w:val="000000"/>
          <w:sz w:val="32"/>
          <w:szCs w:val="32"/>
        </w:rPr>
        <w:t>日第十二届全国人民代表大会常务委员会第三次会议《关于修改〈中华人民共和国文物保护法〉等十二部法律的决定》第二次修正</w:t>
      </w:r>
      <w:r w:rsidRPr="00D006DD">
        <w:rPr>
          <w:rFonts w:ascii="仿宋" w:eastAsia="仿宋" w:hAnsi="仿宋"/>
          <w:color w:val="000000"/>
          <w:sz w:val="32"/>
          <w:szCs w:val="32"/>
        </w:rPr>
        <w:t xml:space="preserve"> </w:t>
      </w:r>
      <w:r w:rsidRPr="00D006DD">
        <w:rPr>
          <w:rFonts w:ascii="仿宋" w:eastAsia="仿宋" w:hAnsi="仿宋"/>
          <w:color w:val="000000"/>
          <w:sz w:val="32"/>
          <w:szCs w:val="32"/>
        </w:rPr>
        <w:t>根据</w:t>
      </w:r>
      <w:r w:rsidRPr="00D006DD">
        <w:rPr>
          <w:rFonts w:ascii="仿宋" w:eastAsia="仿宋" w:hAnsi="仿宋"/>
          <w:color w:val="000000"/>
          <w:sz w:val="32"/>
          <w:szCs w:val="32"/>
        </w:rPr>
        <w:t>2014</w:t>
      </w:r>
      <w:r w:rsidRPr="00D006DD">
        <w:rPr>
          <w:rFonts w:ascii="仿宋" w:eastAsia="仿宋" w:hAnsi="仿宋"/>
          <w:color w:val="000000"/>
          <w:sz w:val="32"/>
          <w:szCs w:val="32"/>
        </w:rPr>
        <w:t>年</w:t>
      </w:r>
      <w:r w:rsidRPr="00D006DD">
        <w:rPr>
          <w:rFonts w:ascii="仿宋" w:eastAsia="仿宋" w:hAnsi="仿宋"/>
          <w:color w:val="000000"/>
          <w:sz w:val="32"/>
          <w:szCs w:val="32"/>
        </w:rPr>
        <w:t>8</w:t>
      </w:r>
      <w:r w:rsidRPr="00D006DD">
        <w:rPr>
          <w:rFonts w:ascii="仿宋" w:eastAsia="仿宋" w:hAnsi="仿宋"/>
          <w:color w:val="000000"/>
          <w:sz w:val="32"/>
          <w:szCs w:val="32"/>
        </w:rPr>
        <w:t>月</w:t>
      </w:r>
      <w:r w:rsidRPr="00D006DD">
        <w:rPr>
          <w:rFonts w:ascii="仿宋" w:eastAsia="仿宋" w:hAnsi="仿宋"/>
          <w:color w:val="000000"/>
          <w:sz w:val="32"/>
          <w:szCs w:val="32"/>
        </w:rPr>
        <w:t>31</w:t>
      </w:r>
      <w:r w:rsidRPr="00D006DD">
        <w:rPr>
          <w:rFonts w:ascii="仿宋" w:eastAsia="仿宋" w:hAnsi="仿宋"/>
          <w:color w:val="000000"/>
          <w:sz w:val="32"/>
          <w:szCs w:val="32"/>
        </w:rPr>
        <w:t>日第十二届全国人民代表大会常务委员会第十次会议《关于修改〈中华人民共和国保险法〉等五部法律的决定》第三次修正</w:t>
      </w:r>
      <w:r w:rsidRPr="00D006DD">
        <w:rPr>
          <w:rFonts w:ascii="仿宋" w:eastAsia="仿宋" w:hAnsi="仿宋"/>
          <w:color w:val="000000"/>
          <w:sz w:val="32"/>
          <w:szCs w:val="32"/>
        </w:rPr>
        <w:t xml:space="preserve"> 2019</w:t>
      </w:r>
      <w:r w:rsidRPr="00D006DD">
        <w:rPr>
          <w:rFonts w:ascii="仿宋" w:eastAsia="仿宋" w:hAnsi="仿宋"/>
          <w:color w:val="000000"/>
          <w:sz w:val="32"/>
          <w:szCs w:val="32"/>
        </w:rPr>
        <w:t>年</w:t>
      </w:r>
      <w:r w:rsidRPr="00D006DD">
        <w:rPr>
          <w:rFonts w:ascii="仿宋" w:eastAsia="仿宋" w:hAnsi="仿宋"/>
          <w:color w:val="000000"/>
          <w:sz w:val="32"/>
          <w:szCs w:val="32"/>
        </w:rPr>
        <w:t>12</w:t>
      </w:r>
      <w:r w:rsidRPr="00D006DD">
        <w:rPr>
          <w:rFonts w:ascii="仿宋" w:eastAsia="仿宋" w:hAnsi="仿宋"/>
          <w:color w:val="000000"/>
          <w:sz w:val="32"/>
          <w:szCs w:val="32"/>
        </w:rPr>
        <w:t>月</w:t>
      </w:r>
      <w:r w:rsidRPr="00D006DD">
        <w:rPr>
          <w:rFonts w:ascii="仿宋" w:eastAsia="仿宋" w:hAnsi="仿宋"/>
          <w:color w:val="000000"/>
          <w:sz w:val="32"/>
          <w:szCs w:val="32"/>
        </w:rPr>
        <w:t>28</w:t>
      </w:r>
      <w:r w:rsidRPr="00D006DD">
        <w:rPr>
          <w:rFonts w:ascii="仿宋" w:eastAsia="仿宋" w:hAnsi="仿宋"/>
          <w:color w:val="000000"/>
          <w:sz w:val="32"/>
          <w:szCs w:val="32"/>
        </w:rPr>
        <w:t>日第十三届全国人民代表</w:t>
      </w:r>
      <w:r w:rsidRPr="00D006DD">
        <w:rPr>
          <w:rFonts w:ascii="仿宋" w:eastAsia="仿宋" w:hAnsi="仿宋"/>
          <w:color w:val="000000"/>
          <w:sz w:val="32"/>
          <w:szCs w:val="32"/>
        </w:rPr>
        <w:t>大会常务委员会第十五次会议第二次修订）</w:t>
      </w:r>
    </w:p>
    <w:p w14:paraId="53540CE6" w14:textId="77777777" w:rsidR="00A546C7" w:rsidRPr="00D006DD" w:rsidRDefault="003D6187" w:rsidP="00D006DD">
      <w:pPr>
        <w:pStyle w:val="a0"/>
        <w:jc w:val="center"/>
        <w:rPr>
          <w:rFonts w:ascii="黑体" w:eastAsia="黑体" w:hAnsi="黑体" w:hint="eastAsia"/>
          <w:color w:val="000000"/>
          <w:sz w:val="32"/>
          <w:szCs w:val="32"/>
        </w:rPr>
      </w:pPr>
      <w:r w:rsidRPr="00D006DD">
        <w:rPr>
          <w:rFonts w:ascii="黑体" w:eastAsia="黑体" w:hAnsi="黑体"/>
          <w:color w:val="000000"/>
          <w:sz w:val="32"/>
          <w:szCs w:val="32"/>
        </w:rPr>
        <w:t>第六章</w:t>
      </w:r>
      <w:r w:rsidRPr="00D006DD">
        <w:rPr>
          <w:rFonts w:ascii="黑体" w:eastAsia="黑体" w:hAnsi="黑体"/>
          <w:color w:val="000000"/>
          <w:sz w:val="32"/>
          <w:szCs w:val="32"/>
        </w:rPr>
        <w:t xml:space="preserve"> </w:t>
      </w:r>
      <w:r w:rsidRPr="00D006DD">
        <w:rPr>
          <w:rFonts w:ascii="黑体" w:eastAsia="黑体" w:hAnsi="黑体"/>
          <w:color w:val="000000"/>
          <w:sz w:val="32"/>
          <w:szCs w:val="32"/>
        </w:rPr>
        <w:t xml:space="preserve">　投资者保护</w:t>
      </w:r>
    </w:p>
    <w:p w14:paraId="7067FF23" w14:textId="6014FD33" w:rsidR="00A546C7" w:rsidRPr="00D006DD" w:rsidRDefault="003D6187" w:rsidP="00D006DD">
      <w:pPr>
        <w:pStyle w:val="a0"/>
        <w:ind w:firstLineChars="200" w:firstLine="640"/>
        <w:rPr>
          <w:rFonts w:ascii="仿宋" w:eastAsia="仿宋" w:hAnsi="仿宋" w:hint="eastAsia"/>
          <w:color w:val="000000"/>
          <w:sz w:val="32"/>
          <w:szCs w:val="32"/>
        </w:rPr>
      </w:pPr>
      <w:r w:rsidRPr="00D006DD">
        <w:rPr>
          <w:rFonts w:ascii="仿宋" w:eastAsia="仿宋" w:hAnsi="仿宋"/>
          <w:color w:val="000000"/>
          <w:sz w:val="32"/>
          <w:szCs w:val="32"/>
        </w:rPr>
        <w:t>第八十八条</w:t>
      </w:r>
      <w:r w:rsidR="00D006DD">
        <w:rPr>
          <w:rFonts w:ascii="仿宋" w:eastAsia="仿宋" w:hAnsi="仿宋" w:hint="eastAsia"/>
          <w:color w:val="000000"/>
          <w:sz w:val="32"/>
          <w:szCs w:val="32"/>
        </w:rPr>
        <w:t xml:space="preserve"> </w:t>
      </w:r>
      <w:r w:rsidRPr="00D006DD">
        <w:rPr>
          <w:rFonts w:ascii="仿宋" w:eastAsia="仿宋" w:hAnsi="仿宋"/>
          <w:color w:val="000000"/>
          <w:sz w:val="32"/>
          <w:szCs w:val="32"/>
        </w:rPr>
        <w:t>证券公司向投资者销售证券、提供服务时，应当按照规定充分了解投资者的基本情况、财产状况、金融资产状况、投资知识和经验、专业能力等相关信息；如实说明证券、服务的重要内容，充分揭示投资风险；销售、提供与投资者上述状况相匹配的证券、服务。</w:t>
      </w:r>
    </w:p>
    <w:p w14:paraId="60B3C225" w14:textId="77777777" w:rsidR="00A546C7" w:rsidRPr="00D006DD" w:rsidRDefault="003D6187" w:rsidP="00D006DD">
      <w:pPr>
        <w:pStyle w:val="a0"/>
        <w:ind w:firstLineChars="200" w:firstLine="640"/>
        <w:rPr>
          <w:rFonts w:ascii="仿宋" w:eastAsia="仿宋" w:hAnsi="仿宋" w:hint="eastAsia"/>
          <w:color w:val="000000"/>
          <w:sz w:val="32"/>
          <w:szCs w:val="32"/>
        </w:rPr>
      </w:pPr>
      <w:r w:rsidRPr="00D006DD">
        <w:rPr>
          <w:rFonts w:ascii="仿宋" w:eastAsia="仿宋" w:hAnsi="仿宋"/>
          <w:color w:val="000000"/>
          <w:sz w:val="32"/>
          <w:szCs w:val="32"/>
        </w:rPr>
        <w:lastRenderedPageBreak/>
        <w:t>投资者在购买证券或者接受服务时，应当按照证券公司明示的要求提供前款所列真实信息。拒绝提供或者未按照要求提供信息的，证券公司应当告知其后果，并按照规定拒绝向其销售证券、提供服务。</w:t>
      </w:r>
    </w:p>
    <w:p w14:paraId="6B2BFCF3" w14:textId="77777777" w:rsidR="00A546C7" w:rsidRPr="00D006DD" w:rsidRDefault="003D6187" w:rsidP="00D006DD">
      <w:pPr>
        <w:pStyle w:val="a0"/>
        <w:ind w:firstLineChars="200" w:firstLine="640"/>
        <w:rPr>
          <w:rFonts w:ascii="仿宋" w:eastAsia="仿宋" w:hAnsi="仿宋" w:hint="eastAsia"/>
          <w:color w:val="000000"/>
          <w:sz w:val="32"/>
          <w:szCs w:val="32"/>
        </w:rPr>
      </w:pPr>
      <w:r w:rsidRPr="00D006DD">
        <w:rPr>
          <w:rFonts w:ascii="仿宋" w:eastAsia="仿宋" w:hAnsi="仿宋"/>
          <w:color w:val="000000"/>
          <w:sz w:val="32"/>
          <w:szCs w:val="32"/>
        </w:rPr>
        <w:t>证券公司违反第一款规定导致投资者损失的，应当承担相应的赔偿责任。</w:t>
      </w:r>
    </w:p>
    <w:p w14:paraId="72C2D141" w14:textId="0FA4833B" w:rsidR="00A546C7" w:rsidRPr="00D006DD" w:rsidRDefault="003D6187" w:rsidP="00D006DD">
      <w:pPr>
        <w:pStyle w:val="a0"/>
        <w:ind w:firstLineChars="200" w:firstLine="640"/>
        <w:rPr>
          <w:rFonts w:ascii="仿宋" w:eastAsia="仿宋" w:hAnsi="仿宋" w:hint="eastAsia"/>
          <w:color w:val="000000"/>
          <w:sz w:val="32"/>
          <w:szCs w:val="32"/>
        </w:rPr>
      </w:pPr>
      <w:r w:rsidRPr="00D006DD">
        <w:rPr>
          <w:rFonts w:ascii="仿宋" w:eastAsia="仿宋" w:hAnsi="仿宋"/>
          <w:color w:val="000000"/>
          <w:sz w:val="32"/>
          <w:szCs w:val="32"/>
        </w:rPr>
        <w:t>第八十九条</w:t>
      </w:r>
      <w:r w:rsidR="00D006DD">
        <w:rPr>
          <w:rFonts w:ascii="仿宋" w:eastAsia="仿宋" w:hAnsi="仿宋" w:hint="eastAsia"/>
          <w:color w:val="000000"/>
          <w:sz w:val="32"/>
          <w:szCs w:val="32"/>
        </w:rPr>
        <w:t xml:space="preserve"> </w:t>
      </w:r>
      <w:r w:rsidR="00D006DD">
        <w:rPr>
          <w:rFonts w:ascii="仿宋" w:eastAsia="仿宋" w:hAnsi="仿宋"/>
          <w:color w:val="000000"/>
          <w:sz w:val="32"/>
          <w:szCs w:val="32"/>
        </w:rPr>
        <w:t xml:space="preserve"> </w:t>
      </w:r>
      <w:r w:rsidRPr="00D006DD">
        <w:rPr>
          <w:rFonts w:ascii="仿宋" w:eastAsia="仿宋" w:hAnsi="仿宋"/>
          <w:color w:val="000000"/>
          <w:sz w:val="32"/>
          <w:szCs w:val="32"/>
        </w:rPr>
        <w:t>根据财产状况、金融资产状</w:t>
      </w:r>
      <w:r w:rsidRPr="00D006DD">
        <w:rPr>
          <w:rFonts w:ascii="仿宋" w:eastAsia="仿宋" w:hAnsi="仿宋"/>
          <w:color w:val="000000"/>
          <w:sz w:val="32"/>
          <w:szCs w:val="32"/>
        </w:rPr>
        <w:t>况、投资知识和经验、专业能力等因素，投资者可以分为普通投资者和专业投资者。专业投资者的标准由国务院证券监督管理机构规定。</w:t>
      </w:r>
    </w:p>
    <w:p w14:paraId="36E2A80B" w14:textId="77777777" w:rsidR="00A546C7" w:rsidRPr="00D006DD" w:rsidRDefault="003D6187" w:rsidP="00D006DD">
      <w:pPr>
        <w:pStyle w:val="a0"/>
        <w:ind w:firstLineChars="200" w:firstLine="640"/>
        <w:rPr>
          <w:rFonts w:ascii="仿宋" w:eastAsia="仿宋" w:hAnsi="仿宋" w:hint="eastAsia"/>
          <w:color w:val="000000"/>
          <w:sz w:val="32"/>
          <w:szCs w:val="32"/>
        </w:rPr>
      </w:pPr>
      <w:r w:rsidRPr="00D006DD">
        <w:rPr>
          <w:rFonts w:ascii="仿宋" w:eastAsia="仿宋" w:hAnsi="仿宋"/>
          <w:color w:val="000000"/>
          <w:sz w:val="32"/>
          <w:szCs w:val="32"/>
        </w:rPr>
        <w:t>普通投资者与证券公司发生纠纷的，证券公司应当证明其行为符合法律、行政法规以及国务院证券监督管理机构的规定，不存在误导、欺诈等情形。证券公司不能证明的，应当承担相应的赔偿责任。</w:t>
      </w:r>
    </w:p>
    <w:p w14:paraId="5CB069C2" w14:textId="4E341A82" w:rsidR="00A546C7" w:rsidRPr="00D006DD" w:rsidRDefault="003D6187" w:rsidP="00D006DD">
      <w:pPr>
        <w:pStyle w:val="a0"/>
        <w:ind w:firstLineChars="200" w:firstLine="640"/>
        <w:rPr>
          <w:rFonts w:ascii="仿宋" w:eastAsia="仿宋" w:hAnsi="仿宋" w:hint="eastAsia"/>
          <w:color w:val="000000"/>
          <w:sz w:val="32"/>
          <w:szCs w:val="32"/>
        </w:rPr>
      </w:pPr>
      <w:r w:rsidRPr="00D006DD">
        <w:rPr>
          <w:rFonts w:ascii="仿宋" w:eastAsia="仿宋" w:hAnsi="仿宋"/>
          <w:color w:val="000000"/>
          <w:sz w:val="32"/>
          <w:szCs w:val="32"/>
        </w:rPr>
        <w:t>第九十条</w:t>
      </w:r>
      <w:r w:rsidR="00D006DD">
        <w:rPr>
          <w:rFonts w:ascii="仿宋" w:eastAsia="仿宋" w:hAnsi="仿宋" w:hint="eastAsia"/>
          <w:color w:val="000000"/>
          <w:sz w:val="32"/>
          <w:szCs w:val="32"/>
        </w:rPr>
        <w:t xml:space="preserve"> </w:t>
      </w:r>
      <w:r w:rsidR="00D006DD">
        <w:rPr>
          <w:rFonts w:ascii="仿宋" w:eastAsia="仿宋" w:hAnsi="仿宋"/>
          <w:color w:val="000000"/>
          <w:sz w:val="32"/>
          <w:szCs w:val="32"/>
        </w:rPr>
        <w:t xml:space="preserve"> </w:t>
      </w:r>
      <w:r w:rsidRPr="00D006DD">
        <w:rPr>
          <w:rFonts w:ascii="仿宋" w:eastAsia="仿宋" w:hAnsi="仿宋"/>
          <w:color w:val="000000"/>
          <w:sz w:val="32"/>
          <w:szCs w:val="32"/>
        </w:rPr>
        <w:t>上市公司董事会、独立董事、持有百分之一以上有表决权股份的股东或者依照法律、行政法规或者国务院证券监督管理机构的规定设立的投资者保护机构（以下简称投资者保护机构），可以作为征集人，自行或者委托证券公司、证券</w:t>
      </w:r>
      <w:r w:rsidRPr="00D006DD">
        <w:rPr>
          <w:rFonts w:ascii="仿宋" w:eastAsia="仿宋" w:hAnsi="仿宋"/>
          <w:color w:val="000000"/>
          <w:sz w:val="32"/>
          <w:szCs w:val="32"/>
        </w:rPr>
        <w:t>服务机</w:t>
      </w:r>
      <w:r w:rsidRPr="00D006DD">
        <w:rPr>
          <w:rFonts w:ascii="仿宋" w:eastAsia="仿宋" w:hAnsi="仿宋"/>
          <w:color w:val="000000"/>
          <w:sz w:val="32"/>
          <w:szCs w:val="32"/>
        </w:rPr>
        <w:lastRenderedPageBreak/>
        <w:t>构，公开请求上市公司股东委托其代为出席股东大会，并代为行使提案权、表决权等股东权利。</w:t>
      </w:r>
    </w:p>
    <w:p w14:paraId="76D615F5" w14:textId="77777777" w:rsidR="00A546C7" w:rsidRPr="00D006DD" w:rsidRDefault="003D6187" w:rsidP="00D006DD">
      <w:pPr>
        <w:pStyle w:val="a0"/>
        <w:ind w:firstLineChars="200" w:firstLine="640"/>
        <w:rPr>
          <w:rFonts w:ascii="仿宋" w:eastAsia="仿宋" w:hAnsi="仿宋" w:hint="eastAsia"/>
          <w:color w:val="000000"/>
          <w:sz w:val="32"/>
          <w:szCs w:val="32"/>
        </w:rPr>
      </w:pPr>
      <w:r w:rsidRPr="00D006DD">
        <w:rPr>
          <w:rFonts w:ascii="仿宋" w:eastAsia="仿宋" w:hAnsi="仿宋"/>
          <w:color w:val="000000"/>
          <w:sz w:val="32"/>
          <w:szCs w:val="32"/>
        </w:rPr>
        <w:t>依照前款规定征集股东权利的，征集人应当披露征集文件，上市公司应当予以配合。</w:t>
      </w:r>
    </w:p>
    <w:p w14:paraId="0E155A15" w14:textId="77777777" w:rsidR="00A546C7" w:rsidRPr="00D006DD" w:rsidRDefault="003D6187" w:rsidP="00424DD8">
      <w:pPr>
        <w:pStyle w:val="a0"/>
        <w:ind w:firstLineChars="200" w:firstLine="640"/>
        <w:rPr>
          <w:rFonts w:ascii="仿宋" w:eastAsia="仿宋" w:hAnsi="仿宋" w:hint="eastAsia"/>
          <w:color w:val="000000"/>
          <w:sz w:val="32"/>
          <w:szCs w:val="32"/>
        </w:rPr>
      </w:pPr>
      <w:r w:rsidRPr="00D006DD">
        <w:rPr>
          <w:rFonts w:ascii="仿宋" w:eastAsia="仿宋" w:hAnsi="仿宋"/>
          <w:color w:val="000000"/>
          <w:sz w:val="32"/>
          <w:szCs w:val="32"/>
        </w:rPr>
        <w:t>禁止以有偿或者变相有偿的方式公开征集股东权利。</w:t>
      </w:r>
    </w:p>
    <w:p w14:paraId="642D97B1" w14:textId="77777777" w:rsidR="00A546C7" w:rsidRPr="00D006DD" w:rsidRDefault="003D6187" w:rsidP="00424DD8">
      <w:pPr>
        <w:pStyle w:val="a0"/>
        <w:ind w:firstLineChars="200" w:firstLine="640"/>
        <w:rPr>
          <w:rFonts w:ascii="仿宋" w:eastAsia="仿宋" w:hAnsi="仿宋" w:hint="eastAsia"/>
          <w:color w:val="000000"/>
          <w:sz w:val="32"/>
          <w:szCs w:val="32"/>
        </w:rPr>
      </w:pPr>
      <w:r w:rsidRPr="00D006DD">
        <w:rPr>
          <w:rFonts w:ascii="仿宋" w:eastAsia="仿宋" w:hAnsi="仿宋"/>
          <w:color w:val="000000"/>
          <w:sz w:val="32"/>
          <w:szCs w:val="32"/>
        </w:rPr>
        <w:t>公开征集股东权利违反法律、行政法规或者国务院证券监督管理机构有关规定，导致上市公司或者其股东遭受损失的，应当依法承担赔偿责任。</w:t>
      </w:r>
    </w:p>
    <w:p w14:paraId="4BA431B4" w14:textId="32BFF17C" w:rsidR="00A546C7" w:rsidRPr="00D006DD" w:rsidRDefault="003D6187" w:rsidP="00424DD8">
      <w:pPr>
        <w:pStyle w:val="a0"/>
        <w:ind w:firstLineChars="200" w:firstLine="640"/>
        <w:rPr>
          <w:rFonts w:ascii="仿宋" w:eastAsia="仿宋" w:hAnsi="仿宋" w:hint="eastAsia"/>
          <w:color w:val="000000"/>
          <w:sz w:val="32"/>
          <w:szCs w:val="32"/>
        </w:rPr>
      </w:pPr>
      <w:r w:rsidRPr="00D006DD">
        <w:rPr>
          <w:rFonts w:ascii="仿宋" w:eastAsia="仿宋" w:hAnsi="仿宋"/>
          <w:color w:val="000000"/>
          <w:sz w:val="32"/>
          <w:szCs w:val="32"/>
        </w:rPr>
        <w:t>第九十一条</w:t>
      </w:r>
      <w:r w:rsidR="00424DD8">
        <w:rPr>
          <w:rFonts w:ascii="仿宋" w:eastAsia="仿宋" w:hAnsi="仿宋" w:hint="eastAsia"/>
          <w:color w:val="000000"/>
          <w:sz w:val="32"/>
          <w:szCs w:val="32"/>
        </w:rPr>
        <w:t xml:space="preserve"> </w:t>
      </w:r>
      <w:r w:rsidR="00424DD8">
        <w:rPr>
          <w:rFonts w:ascii="仿宋" w:eastAsia="仿宋" w:hAnsi="仿宋"/>
          <w:color w:val="000000"/>
          <w:sz w:val="32"/>
          <w:szCs w:val="32"/>
        </w:rPr>
        <w:t xml:space="preserve"> </w:t>
      </w:r>
      <w:r w:rsidRPr="00D006DD">
        <w:rPr>
          <w:rFonts w:ascii="仿宋" w:eastAsia="仿宋" w:hAnsi="仿宋"/>
          <w:color w:val="000000"/>
          <w:sz w:val="32"/>
          <w:szCs w:val="32"/>
        </w:rPr>
        <w:t>上市公司应当在章程中明确分配现金股利的具体安排和决策程序，依法保障股东的资产收益权。</w:t>
      </w:r>
    </w:p>
    <w:p w14:paraId="7513AD30" w14:textId="77777777" w:rsidR="00A546C7" w:rsidRPr="00D006DD" w:rsidRDefault="003D6187" w:rsidP="00424DD8">
      <w:pPr>
        <w:pStyle w:val="a0"/>
        <w:ind w:firstLineChars="200" w:firstLine="640"/>
        <w:rPr>
          <w:rFonts w:ascii="仿宋" w:eastAsia="仿宋" w:hAnsi="仿宋" w:hint="eastAsia"/>
          <w:color w:val="000000"/>
          <w:sz w:val="32"/>
          <w:szCs w:val="32"/>
        </w:rPr>
      </w:pPr>
      <w:r w:rsidRPr="00D006DD">
        <w:rPr>
          <w:rFonts w:ascii="仿宋" w:eastAsia="仿宋" w:hAnsi="仿宋"/>
          <w:color w:val="000000"/>
          <w:sz w:val="32"/>
          <w:szCs w:val="32"/>
        </w:rPr>
        <w:t>上市公司当年税后利润，在弥补亏损及提取法定公积金后有盈余的，应当按照公</w:t>
      </w:r>
      <w:r w:rsidRPr="00D006DD">
        <w:rPr>
          <w:rFonts w:ascii="仿宋" w:eastAsia="仿宋" w:hAnsi="仿宋"/>
          <w:color w:val="000000"/>
          <w:sz w:val="32"/>
          <w:szCs w:val="32"/>
        </w:rPr>
        <w:t>司章程的规定分配现金股利。</w:t>
      </w:r>
    </w:p>
    <w:p w14:paraId="7823795B" w14:textId="1622406E" w:rsidR="00A546C7" w:rsidRPr="00D006DD" w:rsidRDefault="003D6187" w:rsidP="00424DD8">
      <w:pPr>
        <w:pStyle w:val="a0"/>
        <w:ind w:firstLineChars="200" w:firstLine="640"/>
        <w:rPr>
          <w:rFonts w:ascii="仿宋" w:eastAsia="仿宋" w:hAnsi="仿宋" w:hint="eastAsia"/>
          <w:color w:val="000000"/>
          <w:sz w:val="32"/>
          <w:szCs w:val="32"/>
        </w:rPr>
      </w:pPr>
      <w:r w:rsidRPr="00D006DD">
        <w:rPr>
          <w:rFonts w:ascii="仿宋" w:eastAsia="仿宋" w:hAnsi="仿宋"/>
          <w:color w:val="000000"/>
          <w:sz w:val="32"/>
          <w:szCs w:val="32"/>
        </w:rPr>
        <w:t>第九十二条</w:t>
      </w:r>
      <w:r w:rsidR="00424DD8">
        <w:rPr>
          <w:rFonts w:ascii="仿宋" w:eastAsia="仿宋" w:hAnsi="仿宋" w:hint="eastAsia"/>
          <w:color w:val="000000"/>
          <w:sz w:val="32"/>
          <w:szCs w:val="32"/>
        </w:rPr>
        <w:t xml:space="preserve"> </w:t>
      </w:r>
      <w:r w:rsidR="00424DD8">
        <w:rPr>
          <w:rFonts w:ascii="仿宋" w:eastAsia="仿宋" w:hAnsi="仿宋"/>
          <w:color w:val="000000"/>
          <w:sz w:val="32"/>
          <w:szCs w:val="32"/>
        </w:rPr>
        <w:t xml:space="preserve"> </w:t>
      </w:r>
      <w:r w:rsidRPr="00D006DD">
        <w:rPr>
          <w:rFonts w:ascii="仿宋" w:eastAsia="仿宋" w:hAnsi="仿宋"/>
          <w:color w:val="000000"/>
          <w:sz w:val="32"/>
          <w:szCs w:val="32"/>
        </w:rPr>
        <w:t>公开发行公司债券的，应当设立债券持有人会议，并应当在募集说明书中说明债券持有人会议的召集程序、会议规则和其他重要事项。</w:t>
      </w:r>
    </w:p>
    <w:p w14:paraId="03F387B5" w14:textId="77777777" w:rsidR="00A546C7" w:rsidRPr="00D006DD" w:rsidRDefault="003D6187" w:rsidP="00424DD8">
      <w:pPr>
        <w:pStyle w:val="a0"/>
        <w:ind w:firstLineChars="200" w:firstLine="640"/>
        <w:rPr>
          <w:rFonts w:ascii="仿宋" w:eastAsia="仿宋" w:hAnsi="仿宋" w:hint="eastAsia"/>
          <w:color w:val="000000"/>
          <w:sz w:val="32"/>
          <w:szCs w:val="32"/>
        </w:rPr>
      </w:pPr>
      <w:r w:rsidRPr="00D006DD">
        <w:rPr>
          <w:rFonts w:ascii="仿宋" w:eastAsia="仿宋" w:hAnsi="仿宋"/>
          <w:color w:val="000000"/>
          <w:sz w:val="32"/>
          <w:szCs w:val="32"/>
        </w:rPr>
        <w:t>公开发行公司债券的，发行人应当为债券持有人聘请债券受</w:t>
      </w:r>
      <w:r w:rsidRPr="00D006DD">
        <w:rPr>
          <w:rFonts w:ascii="仿宋" w:eastAsia="仿宋" w:hAnsi="仿宋"/>
          <w:color w:val="000000"/>
          <w:sz w:val="32"/>
          <w:szCs w:val="32"/>
        </w:rPr>
        <w:lastRenderedPageBreak/>
        <w:t>托管理人，并订立债券受托管理协议。受托管理人应当由本次发行的承销机构或者其他经国务院证券监督管理机构认可的机构担任，债券持有人会议可以决议变更债券受托管理人。债券受托管理人应当勤勉尽责，公正履行受托管理职责，不得损害债券持有人利益。</w:t>
      </w:r>
    </w:p>
    <w:p w14:paraId="30A9D0BE" w14:textId="77777777" w:rsidR="00A546C7" w:rsidRPr="00D006DD" w:rsidRDefault="003D6187" w:rsidP="00424DD8">
      <w:pPr>
        <w:pStyle w:val="a0"/>
        <w:ind w:firstLineChars="200" w:firstLine="640"/>
        <w:rPr>
          <w:rFonts w:ascii="仿宋" w:eastAsia="仿宋" w:hAnsi="仿宋" w:hint="eastAsia"/>
          <w:color w:val="000000"/>
          <w:sz w:val="32"/>
          <w:szCs w:val="32"/>
        </w:rPr>
      </w:pPr>
      <w:r w:rsidRPr="00D006DD">
        <w:rPr>
          <w:rFonts w:ascii="仿宋" w:eastAsia="仿宋" w:hAnsi="仿宋"/>
          <w:color w:val="000000"/>
          <w:sz w:val="32"/>
          <w:szCs w:val="32"/>
        </w:rPr>
        <w:t>债券发行人未能按期兑付债券本息的，债券受托管理人可以接受全部或者部</w:t>
      </w:r>
      <w:r w:rsidRPr="00D006DD">
        <w:rPr>
          <w:rFonts w:ascii="仿宋" w:eastAsia="仿宋" w:hAnsi="仿宋"/>
          <w:color w:val="000000"/>
          <w:sz w:val="32"/>
          <w:szCs w:val="32"/>
        </w:rPr>
        <w:t>分债券持有人的委托，以自己名义代表债券持有人提起、参加民事诉讼或者清算程序。</w:t>
      </w:r>
    </w:p>
    <w:p w14:paraId="5FC823E1" w14:textId="6464B72E" w:rsidR="00A546C7" w:rsidRPr="00D006DD" w:rsidRDefault="003D6187" w:rsidP="00424DD8">
      <w:pPr>
        <w:pStyle w:val="a0"/>
        <w:ind w:firstLineChars="200" w:firstLine="640"/>
        <w:rPr>
          <w:rFonts w:ascii="仿宋" w:eastAsia="仿宋" w:hAnsi="仿宋" w:hint="eastAsia"/>
          <w:color w:val="000000"/>
          <w:sz w:val="32"/>
          <w:szCs w:val="32"/>
        </w:rPr>
      </w:pPr>
      <w:r w:rsidRPr="00D006DD">
        <w:rPr>
          <w:rFonts w:ascii="仿宋" w:eastAsia="仿宋" w:hAnsi="仿宋"/>
          <w:color w:val="000000"/>
          <w:sz w:val="32"/>
          <w:szCs w:val="32"/>
        </w:rPr>
        <w:t>第九十三条</w:t>
      </w:r>
      <w:r w:rsidR="00424DD8">
        <w:rPr>
          <w:rFonts w:ascii="仿宋" w:eastAsia="仿宋" w:hAnsi="仿宋" w:hint="eastAsia"/>
          <w:color w:val="000000"/>
          <w:sz w:val="32"/>
          <w:szCs w:val="32"/>
        </w:rPr>
        <w:t xml:space="preserve"> </w:t>
      </w:r>
      <w:r w:rsidR="00424DD8">
        <w:rPr>
          <w:rFonts w:ascii="仿宋" w:eastAsia="仿宋" w:hAnsi="仿宋"/>
          <w:color w:val="000000"/>
          <w:sz w:val="32"/>
          <w:szCs w:val="32"/>
        </w:rPr>
        <w:t xml:space="preserve"> </w:t>
      </w:r>
      <w:r w:rsidRPr="00D006DD">
        <w:rPr>
          <w:rFonts w:ascii="仿宋" w:eastAsia="仿宋" w:hAnsi="仿宋"/>
          <w:color w:val="000000"/>
          <w:sz w:val="32"/>
          <w:szCs w:val="32"/>
        </w:rPr>
        <w:t>发行人因欺诈发行、虚假陈述或者其他重大违法行为给投资者造成损失的，发行人的控股股东、实际控制人、相关的证券公司可以委托投资者保护机构，就赔偿事宜与受到损失的投资者达成协议，予以先行赔付。先行赔付后，可以依法向发行人以及其他连带责任人追偿。</w:t>
      </w:r>
    </w:p>
    <w:p w14:paraId="7737EB50" w14:textId="6824316C" w:rsidR="00A546C7" w:rsidRPr="00D006DD" w:rsidRDefault="003D6187" w:rsidP="00424DD8">
      <w:pPr>
        <w:pStyle w:val="a0"/>
        <w:ind w:firstLineChars="200" w:firstLine="640"/>
        <w:rPr>
          <w:rFonts w:ascii="仿宋" w:eastAsia="仿宋" w:hAnsi="仿宋" w:hint="eastAsia"/>
          <w:color w:val="000000"/>
          <w:sz w:val="32"/>
          <w:szCs w:val="32"/>
        </w:rPr>
      </w:pPr>
      <w:r w:rsidRPr="00D006DD">
        <w:rPr>
          <w:rFonts w:ascii="仿宋" w:eastAsia="仿宋" w:hAnsi="仿宋"/>
          <w:color w:val="000000"/>
          <w:sz w:val="32"/>
          <w:szCs w:val="32"/>
        </w:rPr>
        <w:t>第九十四条</w:t>
      </w:r>
      <w:r w:rsidR="00424DD8">
        <w:rPr>
          <w:rFonts w:ascii="仿宋" w:eastAsia="仿宋" w:hAnsi="仿宋" w:hint="eastAsia"/>
          <w:color w:val="000000"/>
          <w:sz w:val="32"/>
          <w:szCs w:val="32"/>
        </w:rPr>
        <w:t xml:space="preserve"> </w:t>
      </w:r>
      <w:r w:rsidR="00424DD8">
        <w:rPr>
          <w:rFonts w:ascii="仿宋" w:eastAsia="仿宋" w:hAnsi="仿宋"/>
          <w:color w:val="000000"/>
          <w:sz w:val="32"/>
          <w:szCs w:val="32"/>
        </w:rPr>
        <w:t xml:space="preserve"> </w:t>
      </w:r>
      <w:r w:rsidRPr="00D006DD">
        <w:rPr>
          <w:rFonts w:ascii="仿宋" w:eastAsia="仿宋" w:hAnsi="仿宋"/>
          <w:color w:val="000000"/>
          <w:sz w:val="32"/>
          <w:szCs w:val="32"/>
        </w:rPr>
        <w:t>投资者与发行人、证券公司等发生纠纷的，双方可以向投资者保护机构申请调解。普通投资者与证券公司发生证券业务纠纷，普通投资者提出调解请求的，证券公司不得拒绝。</w:t>
      </w:r>
    </w:p>
    <w:p w14:paraId="374B645C" w14:textId="77777777" w:rsidR="00A546C7" w:rsidRPr="00D006DD" w:rsidRDefault="003D6187" w:rsidP="00424DD8">
      <w:pPr>
        <w:pStyle w:val="a0"/>
        <w:ind w:firstLineChars="200" w:firstLine="640"/>
        <w:rPr>
          <w:rFonts w:ascii="仿宋" w:eastAsia="仿宋" w:hAnsi="仿宋" w:hint="eastAsia"/>
          <w:color w:val="000000"/>
          <w:sz w:val="32"/>
          <w:szCs w:val="32"/>
        </w:rPr>
      </w:pPr>
      <w:r w:rsidRPr="00D006DD">
        <w:rPr>
          <w:rFonts w:ascii="仿宋" w:eastAsia="仿宋" w:hAnsi="仿宋"/>
          <w:color w:val="000000"/>
          <w:sz w:val="32"/>
          <w:szCs w:val="32"/>
        </w:rPr>
        <w:t>投资者保护机构</w:t>
      </w:r>
      <w:r w:rsidRPr="00D006DD">
        <w:rPr>
          <w:rFonts w:ascii="仿宋" w:eastAsia="仿宋" w:hAnsi="仿宋"/>
          <w:color w:val="000000"/>
          <w:sz w:val="32"/>
          <w:szCs w:val="32"/>
        </w:rPr>
        <w:t>对损害投资者利益的行为，可以依法支持投</w:t>
      </w:r>
      <w:r w:rsidRPr="00D006DD">
        <w:rPr>
          <w:rFonts w:ascii="仿宋" w:eastAsia="仿宋" w:hAnsi="仿宋"/>
          <w:color w:val="000000"/>
          <w:sz w:val="32"/>
          <w:szCs w:val="32"/>
        </w:rPr>
        <w:lastRenderedPageBreak/>
        <w:t>资者向人民法院提起诉讼。</w:t>
      </w:r>
    </w:p>
    <w:p w14:paraId="6255E07B" w14:textId="77777777" w:rsidR="00A546C7" w:rsidRPr="00D006DD" w:rsidRDefault="003D6187" w:rsidP="00424DD8">
      <w:pPr>
        <w:pStyle w:val="a0"/>
        <w:ind w:firstLineChars="200" w:firstLine="640"/>
        <w:rPr>
          <w:rFonts w:ascii="仿宋" w:eastAsia="仿宋" w:hAnsi="仿宋" w:hint="eastAsia"/>
          <w:color w:val="000000"/>
          <w:sz w:val="32"/>
          <w:szCs w:val="32"/>
        </w:rPr>
      </w:pPr>
      <w:r w:rsidRPr="00D006DD">
        <w:rPr>
          <w:rFonts w:ascii="仿宋" w:eastAsia="仿宋" w:hAnsi="仿宋"/>
          <w:color w:val="000000"/>
          <w:sz w:val="32"/>
          <w:szCs w:val="32"/>
        </w:rPr>
        <w:t>发行人的董事、监事、高级管理人员执行公司职务时违反法律、行政法规或者公司章程的规定给公司造成损失，发行人的控股股东、实际控制人等侵犯公司合法权益给公司造成损失，投资者保护机构持有该公司股份的，可以为公司的利益以自己的名义向人民法院提起诉讼，持股比例和持股期限不受《中华人民共和国</w:t>
      </w:r>
      <w:r w:rsidRPr="00D006DD">
        <w:rPr>
          <w:rFonts w:ascii="仿宋" w:eastAsia="仿宋" w:hAnsi="仿宋"/>
          <w:color w:val="000000"/>
          <w:sz w:val="32"/>
          <w:szCs w:val="32"/>
        </w:rPr>
        <w:t>公司法》规定的限制。</w:t>
      </w:r>
    </w:p>
    <w:p w14:paraId="593F68B7" w14:textId="075CC493" w:rsidR="00A546C7" w:rsidRPr="00D006DD" w:rsidRDefault="003D6187" w:rsidP="00424DD8">
      <w:pPr>
        <w:pStyle w:val="a0"/>
        <w:ind w:firstLineChars="200" w:firstLine="640"/>
        <w:rPr>
          <w:rFonts w:ascii="仿宋" w:eastAsia="仿宋" w:hAnsi="仿宋" w:hint="eastAsia"/>
          <w:color w:val="000000"/>
          <w:sz w:val="32"/>
          <w:szCs w:val="32"/>
        </w:rPr>
      </w:pPr>
      <w:r w:rsidRPr="00D006DD">
        <w:rPr>
          <w:rFonts w:ascii="仿宋" w:eastAsia="仿宋" w:hAnsi="仿宋"/>
          <w:color w:val="000000"/>
          <w:sz w:val="32"/>
          <w:szCs w:val="32"/>
        </w:rPr>
        <w:t>第九十五条</w:t>
      </w:r>
      <w:r w:rsidR="00424DD8">
        <w:rPr>
          <w:rFonts w:ascii="仿宋" w:eastAsia="仿宋" w:hAnsi="仿宋" w:hint="eastAsia"/>
          <w:color w:val="000000"/>
          <w:sz w:val="32"/>
          <w:szCs w:val="32"/>
        </w:rPr>
        <w:t xml:space="preserve"> </w:t>
      </w:r>
      <w:r w:rsidR="00424DD8">
        <w:rPr>
          <w:rFonts w:ascii="仿宋" w:eastAsia="仿宋" w:hAnsi="仿宋"/>
          <w:color w:val="000000"/>
          <w:sz w:val="32"/>
          <w:szCs w:val="32"/>
        </w:rPr>
        <w:t xml:space="preserve"> </w:t>
      </w:r>
      <w:r w:rsidRPr="00D006DD">
        <w:rPr>
          <w:rFonts w:ascii="仿宋" w:eastAsia="仿宋" w:hAnsi="仿宋"/>
          <w:color w:val="000000"/>
          <w:sz w:val="32"/>
          <w:szCs w:val="32"/>
        </w:rPr>
        <w:t>投资者提起虚假陈述等证券民事赔偿诉讼时，诉讼标的是同一种类，且当事人一方人数众多的，可以依法推选代表人进行诉讼。</w:t>
      </w:r>
    </w:p>
    <w:p w14:paraId="70A12A44" w14:textId="77777777" w:rsidR="00A546C7" w:rsidRPr="00D006DD" w:rsidRDefault="003D6187" w:rsidP="00424DD8">
      <w:pPr>
        <w:pStyle w:val="a0"/>
        <w:ind w:firstLineChars="200" w:firstLine="640"/>
        <w:rPr>
          <w:rFonts w:ascii="仿宋" w:eastAsia="仿宋" w:hAnsi="仿宋" w:hint="eastAsia"/>
          <w:color w:val="000000"/>
          <w:sz w:val="32"/>
          <w:szCs w:val="32"/>
        </w:rPr>
      </w:pPr>
      <w:r w:rsidRPr="00D006DD">
        <w:rPr>
          <w:rFonts w:ascii="仿宋" w:eastAsia="仿宋" w:hAnsi="仿宋"/>
          <w:color w:val="000000"/>
          <w:sz w:val="32"/>
          <w:szCs w:val="32"/>
        </w:rPr>
        <w:t>对按照前款规定提起的诉讼，可能存在有相同诉讼请求的其他众多投资者的，人民法院可以发出公告，说明该诉讼请求的案件情况，通知投资者在一定期间向人民法院登记。人民法院作出的判决、裁定，对参加登记的投资者发生效力。</w:t>
      </w:r>
    </w:p>
    <w:p w14:paraId="71DF6138" w14:textId="77777777" w:rsidR="00A546C7" w:rsidRPr="00D006DD" w:rsidRDefault="003D6187" w:rsidP="00424DD8">
      <w:pPr>
        <w:pStyle w:val="a0"/>
        <w:ind w:firstLineChars="200" w:firstLine="640"/>
        <w:rPr>
          <w:rFonts w:ascii="仿宋" w:eastAsia="仿宋" w:hAnsi="仿宋" w:hint="eastAsia"/>
          <w:color w:val="000000"/>
          <w:sz w:val="32"/>
          <w:szCs w:val="32"/>
        </w:rPr>
      </w:pPr>
      <w:r w:rsidRPr="00D006DD">
        <w:rPr>
          <w:rFonts w:ascii="仿宋" w:eastAsia="仿宋" w:hAnsi="仿宋"/>
          <w:color w:val="000000"/>
          <w:sz w:val="32"/>
          <w:szCs w:val="32"/>
        </w:rPr>
        <w:t>投资者保护机构受五十名以上投资者委托，可以作为代表人参加诉讼，并为经证券登记结算机构确认的权利人依照前款规定向人民法院登记，但投资者明确表示不愿意参加该诉讼的除外。</w:t>
      </w:r>
    </w:p>
    <w:sectPr w:rsidR="00A546C7" w:rsidRPr="00D006DD" w:rsidSect="00D006DD">
      <w:footerReference w:type="default" r:id="rId7"/>
      <w:pgSz w:w="12240" w:h="15840"/>
      <w:pgMar w:top="2098" w:right="1474" w:bottom="1985" w:left="1588"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F48CC" w14:textId="77777777" w:rsidR="003D6187" w:rsidRDefault="003D6187">
      <w:pPr>
        <w:rPr>
          <w:rFonts w:hint="eastAsia"/>
        </w:rPr>
      </w:pPr>
      <w:r>
        <w:separator/>
      </w:r>
    </w:p>
  </w:endnote>
  <w:endnote w:type="continuationSeparator" w:id="0">
    <w:p w14:paraId="6DE3EA64" w14:textId="77777777" w:rsidR="003D6187" w:rsidRDefault="003D618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default"/>
  </w:font>
  <w:font w:name="宋体">
    <w:altName w:val="SimSun"/>
    <w:panose1 w:val="02010600030101010101"/>
    <w:charset w:val="86"/>
    <w:family w:val="auto"/>
    <w:pitch w:val="variable"/>
    <w:sig w:usb0="00000003" w:usb1="288F0000" w:usb2="00000016" w:usb3="00000000" w:csb0="00040001" w:csb1="00000000"/>
  </w:font>
  <w:font w:name="DejaVu Sans">
    <w:altName w:val="Segoe Print"/>
    <w:charset w:val="00"/>
    <w:family w:val="auto"/>
    <w:pitch w:val="default"/>
  </w:font>
  <w:font w:name="Thorndale">
    <w:altName w:val="Times New Roman"/>
    <w:charset w:val="01"/>
    <w:family w:val="roman"/>
    <w:pitch w:val="default"/>
  </w:font>
  <w:font w:name="Times New Roman">
    <w:panose1 w:val="02020603050405020304"/>
    <w:charset w:val="00"/>
    <w:family w:val="roman"/>
    <w:pitch w:val="variable"/>
    <w:sig w:usb0="E0002EFF" w:usb1="C000785B" w:usb2="00000009" w:usb3="00000000" w:csb0="000001FF" w:csb1="00000000"/>
  </w:font>
  <w:font w:name="Albany">
    <w:altName w:val="Arial"/>
    <w:charset w:val="01"/>
    <w:family w:val="swiss"/>
    <w:pitch w:val="default"/>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E436" w14:textId="77777777" w:rsidR="00A546C7" w:rsidRDefault="003D6187">
    <w:pPr>
      <w:jc w:val="center"/>
      <w:rPr>
        <w:rFonts w:hint="eastAsia"/>
      </w:rPr>
    </w:pPr>
    <w:r>
      <w:fldChar w:fldCharType="begin"/>
    </w:r>
    <w:r>
      <w:instrText>PAGE   \* MERGEFORMAT</w:instrText>
    </w:r>
    <w:r>
      <w:rPr>
        <w:rFonts w:hint="eastAsia"/>
      </w:rPr>
      <w:fldChar w:fldCharType="separate"/>
    </w:r>
    <w:r w:rsidR="00D006DD">
      <w:rPr>
        <w:rFonts w:hint="eastAsia"/>
        <w:noProof/>
      </w:rPr>
      <w:t>1</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A00C1" w14:textId="77777777" w:rsidR="003D6187" w:rsidRDefault="003D6187">
      <w:pPr>
        <w:rPr>
          <w:rFonts w:hint="eastAsia"/>
        </w:rPr>
      </w:pPr>
      <w:r>
        <w:separator/>
      </w:r>
    </w:p>
  </w:footnote>
  <w:footnote w:type="continuationSeparator" w:id="0">
    <w:p w14:paraId="62F37F44" w14:textId="77777777" w:rsidR="003D6187" w:rsidRDefault="003D618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defaultTabStop w:val="113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6C7"/>
    <w:rsid w:val="003D6187"/>
    <w:rsid w:val="00424DD8"/>
    <w:rsid w:val="00A546C7"/>
    <w:rsid w:val="00D006DD"/>
    <w:rsid w:val="0C9E6FBE"/>
    <w:rsid w:val="5D991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9D717"/>
  <w15:docId w15:val="{FEB59E5D-A897-46C0-ACCD-E9D9AB64D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宋体" w:hAnsi="Liberation Serif" w:cs="DejaVu Sans"/>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envelope retur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sz w:val="24"/>
      <w:szCs w:val="24"/>
      <w:lang w:bidi="hi-IN"/>
    </w:rPr>
  </w:style>
  <w:style w:type="paragraph" w:styleId="1">
    <w:name w:val="heading 1"/>
    <w:basedOn w:val="Heading"/>
    <w:next w:val="a0"/>
    <w:qFormat/>
    <w:pPr>
      <w:outlineLvl w:val="0"/>
    </w:pPr>
    <w:rPr>
      <w:rFonts w:ascii="Thorndale" w:hAnsi="Thorndale"/>
      <w:b/>
      <w:bCs/>
      <w:sz w:val="32"/>
      <w:szCs w:val="32"/>
    </w:rPr>
  </w:style>
  <w:style w:type="paragraph" w:styleId="2">
    <w:name w:val="heading 2"/>
    <w:basedOn w:val="Heading"/>
    <w:next w:val="a0"/>
    <w:qFormat/>
    <w:pPr>
      <w:spacing w:before="200" w:after="120"/>
      <w:outlineLvl w:val="1"/>
    </w:pPr>
    <w:rPr>
      <w:rFonts w:ascii="Liberation Serif" w:hAnsi="Liberation Serif"/>
      <w:b/>
      <w:bCs/>
      <w:sz w:val="30"/>
      <w:szCs w:val="30"/>
    </w:rPr>
  </w:style>
  <w:style w:type="paragraph" w:styleId="3">
    <w:name w:val="heading 3"/>
    <w:basedOn w:val="Heading"/>
    <w:next w:val="a0"/>
    <w:qFormat/>
    <w:pPr>
      <w:spacing w:before="140" w:after="120"/>
      <w:outlineLvl w:val="2"/>
    </w:pPr>
    <w:rPr>
      <w:rFonts w:ascii="Liberation Serif" w:hAnsi="Liberation Serif"/>
      <w:b/>
      <w:bCs/>
      <w:sz w:val="27"/>
      <w:szCs w:val="27"/>
    </w:rPr>
  </w:style>
  <w:style w:type="paragraph" w:styleId="4">
    <w:name w:val="heading 4"/>
    <w:basedOn w:val="Heading"/>
    <w:next w:val="a0"/>
    <w:qFormat/>
    <w:pPr>
      <w:spacing w:before="120" w:after="120"/>
      <w:jc w:val="center"/>
      <w:outlineLvl w:val="3"/>
    </w:pPr>
    <w:rPr>
      <w:rFonts w:ascii="Liberation Serif" w:hAnsi="Liberation Serif"/>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basedOn w:val="a"/>
    <w:next w:val="a0"/>
    <w:qFormat/>
    <w:pPr>
      <w:keepNext/>
      <w:spacing w:before="240" w:after="283"/>
    </w:pPr>
    <w:rPr>
      <w:rFonts w:ascii="Albany" w:hAnsi="Albany"/>
      <w:sz w:val="28"/>
      <w:szCs w:val="28"/>
    </w:rPr>
  </w:style>
  <w:style w:type="paragraph" w:styleId="a0">
    <w:name w:val="Body Text"/>
    <w:basedOn w:val="a"/>
    <w:pPr>
      <w:spacing w:after="283" w:line="360" w:lineRule="auto"/>
    </w:pPr>
  </w:style>
  <w:style w:type="paragraph" w:styleId="a4">
    <w:name w:val="caption"/>
    <w:basedOn w:val="a"/>
    <w:next w:val="a"/>
    <w:qFormat/>
    <w:pPr>
      <w:suppressLineNumbers/>
      <w:spacing w:before="120" w:after="120"/>
    </w:pPr>
    <w:rPr>
      <w:i/>
      <w:iCs/>
    </w:rPr>
  </w:style>
  <w:style w:type="paragraph" w:styleId="a5">
    <w:name w:val="footer"/>
    <w:basedOn w:val="a"/>
    <w:pPr>
      <w:suppressLineNumbers/>
      <w:tabs>
        <w:tab w:val="center" w:pos="4818"/>
        <w:tab w:val="right" w:pos="9637"/>
      </w:tabs>
    </w:pPr>
  </w:style>
  <w:style w:type="paragraph" w:styleId="a6">
    <w:name w:val="envelope return"/>
    <w:basedOn w:val="a"/>
    <w:qFormat/>
    <w:rPr>
      <w:i/>
    </w:rPr>
  </w:style>
  <w:style w:type="paragraph" w:styleId="a7">
    <w:name w:val="header"/>
    <w:basedOn w:val="a"/>
    <w:pPr>
      <w:suppressLineNumbers/>
      <w:tabs>
        <w:tab w:val="center" w:pos="4818"/>
        <w:tab w:val="right" w:pos="9637"/>
      </w:tabs>
    </w:pPr>
  </w:style>
  <w:style w:type="paragraph" w:styleId="a8">
    <w:name w:val="List"/>
    <w:basedOn w:val="a0"/>
  </w:style>
  <w:style w:type="character" w:customStyle="1" w:styleId="EndnoteCharacters">
    <w:name w:val="Endnote Characters"/>
    <w:qFormat/>
  </w:style>
  <w:style w:type="character" w:customStyle="1" w:styleId="FootnoteCharacters">
    <w:name w:val="Footnote Characters"/>
    <w:qFormat/>
  </w:style>
  <w:style w:type="character" w:customStyle="1" w:styleId="InternetLink">
    <w:name w:val="Internet Link"/>
    <w:rPr>
      <w:color w:val="000080"/>
      <w:u w:val="single"/>
    </w:rPr>
  </w:style>
  <w:style w:type="paragraph" w:customStyle="1" w:styleId="HorizontalLine">
    <w:name w:val="Horizontal Line"/>
    <w:basedOn w:val="a"/>
    <w:next w:val="a0"/>
    <w:qFormat/>
    <w:pPr>
      <w:pBdr>
        <w:bottom w:val="double" w:sz="2" w:space="0" w:color="808080"/>
      </w:pBdr>
      <w:spacing w:after="283"/>
    </w:pPr>
    <w:rPr>
      <w:sz w:val="12"/>
    </w:rPr>
  </w:style>
  <w:style w:type="paragraph" w:customStyle="1" w:styleId="TableContents">
    <w:name w:val="Table Contents"/>
    <w:basedOn w:val="a0"/>
    <w:qFormat/>
  </w:style>
  <w:style w:type="paragraph" w:customStyle="1" w:styleId="Index">
    <w:name w:val="Index"/>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lx1031</dc:creator>
  <cp:lastModifiedBy>8618610706617</cp:lastModifiedBy>
  <cp:revision>2</cp:revision>
  <dcterms:created xsi:type="dcterms:W3CDTF">2021-09-09T08:57:00Z</dcterms:created>
  <dcterms:modified xsi:type="dcterms:W3CDTF">2021-09-09T11:46:00Z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